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1D6C2" w14:textId="77777777" w:rsidR="00D81A49" w:rsidRDefault="00000000">
      <w:pPr>
        <w:spacing w:after="120"/>
        <w:jc w:val="right"/>
      </w:pPr>
      <w:r>
        <w:rPr>
          <w:b/>
          <w:bCs/>
          <w:color w:val="1257A1"/>
          <w:spacing w:val="20"/>
          <w:sz w:val="22"/>
          <w:szCs w:val="22"/>
        </w:rPr>
        <w:t>ALLEGATO C</w:t>
      </w:r>
    </w:p>
    <w:p w14:paraId="58F887B3" w14:textId="77777777" w:rsidR="00D81A49" w:rsidRDefault="00000000">
      <w:pPr>
        <w:keepNext/>
        <w:spacing w:after="40"/>
        <w:jc w:val="center"/>
      </w:pPr>
      <w:r>
        <w:rPr>
          <w:b/>
          <w:bCs/>
          <w:color w:val="0B3D73"/>
          <w:sz w:val="26"/>
          <w:szCs w:val="26"/>
        </w:rPr>
        <w:t>INFORMATIVA SUL TRATTAMENTO DEI DATI PERSONALI</w:t>
      </w:r>
    </w:p>
    <w:p w14:paraId="517AB2D8" w14:textId="77777777" w:rsidR="00D81A49" w:rsidRDefault="00000000">
      <w:pPr>
        <w:keepNext/>
        <w:pBdr>
          <w:bottom w:val="single" w:sz="6" w:space="8" w:color="1257A1"/>
        </w:pBdr>
        <w:spacing w:after="120"/>
        <w:jc w:val="center"/>
      </w:pPr>
      <w:r>
        <w:rPr>
          <w:i/>
          <w:iCs/>
          <w:color w:val="5F6B7A"/>
        </w:rPr>
        <w:t>(artt. 13-14 Regolamento UE 2016/679 – GDPR)</w:t>
      </w:r>
    </w:p>
    <w:p w14:paraId="6B2BF9FC" w14:textId="77777777" w:rsidR="00D81A49" w:rsidRDefault="00D81A49">
      <w:pPr>
        <w:spacing w:after="80"/>
      </w:pPr>
    </w:p>
    <w:p w14:paraId="11221982" w14:textId="77777777" w:rsidR="00D81A49" w:rsidRDefault="00000000">
      <w:pPr>
        <w:keepNext/>
        <w:pBdr>
          <w:bottom w:val="single" w:sz="6" w:space="2" w:color="C6D10D"/>
        </w:pBdr>
        <w:spacing w:before="200" w:after="80"/>
      </w:pPr>
      <w:r>
        <w:rPr>
          <w:b/>
          <w:bCs/>
          <w:color w:val="1257A1"/>
        </w:rPr>
        <w:t xml:space="preserve">1.  </w:t>
      </w:r>
      <w:r>
        <w:rPr>
          <w:b/>
          <w:bCs/>
          <w:color w:val="0B3D73"/>
        </w:rPr>
        <w:t>Titolare del trattamento</w:t>
      </w:r>
    </w:p>
    <w:p w14:paraId="64394580" w14:textId="77777777" w:rsidR="00D81A49" w:rsidRDefault="00000000">
      <w:pPr>
        <w:spacing w:after="100" w:line="264" w:lineRule="auto"/>
        <w:jc w:val="both"/>
      </w:pPr>
      <w:r>
        <w:t>Titolare del trattamento dei dati personali è la Fondazione ITS Academy LGA, con sede legale in Via Varese 25/D – Saronno (VA) PEC fondazioneitsacademy@pec.it, nella persona del legale rappresentante.</w:t>
      </w:r>
    </w:p>
    <w:p w14:paraId="042C1EF6" w14:textId="77777777" w:rsidR="00D81A49" w:rsidRDefault="00000000">
      <w:pPr>
        <w:keepNext/>
        <w:pBdr>
          <w:bottom w:val="single" w:sz="6" w:space="2" w:color="C6D10D"/>
        </w:pBdr>
        <w:spacing w:before="200" w:after="80"/>
      </w:pPr>
      <w:r>
        <w:rPr>
          <w:b/>
          <w:bCs/>
          <w:color w:val="1257A1"/>
        </w:rPr>
        <w:t xml:space="preserve">2.  </w:t>
      </w:r>
      <w:r>
        <w:rPr>
          <w:b/>
          <w:bCs/>
          <w:color w:val="0B3D73"/>
        </w:rPr>
        <w:t>Responsabile della protezione dei dati (DPO)</w:t>
      </w:r>
    </w:p>
    <w:p w14:paraId="2BAC8694" w14:textId="77777777" w:rsidR="00D81A49" w:rsidRDefault="00000000">
      <w:pPr>
        <w:spacing w:after="100" w:line="264" w:lineRule="auto"/>
        <w:jc w:val="both"/>
      </w:pPr>
      <w:r>
        <w:t xml:space="preserve">Horus S.r.l. Società Benefit, nella persona fisica del Dott. Luca Bragato - </w:t>
      </w:r>
      <w:proofErr w:type="gramStart"/>
      <w:r>
        <w:t>email</w:t>
      </w:r>
      <w:proofErr w:type="gramEnd"/>
      <w:r>
        <w:t xml:space="preserve"> per contatto: dpo@lga-its.eu</w:t>
      </w:r>
    </w:p>
    <w:p w14:paraId="14B3B2FC" w14:textId="77777777" w:rsidR="00D81A49" w:rsidRDefault="00000000">
      <w:pPr>
        <w:keepNext/>
        <w:pBdr>
          <w:bottom w:val="single" w:sz="6" w:space="2" w:color="C6D10D"/>
        </w:pBdr>
        <w:spacing w:before="200" w:after="80"/>
      </w:pPr>
      <w:r>
        <w:rPr>
          <w:b/>
          <w:bCs/>
          <w:color w:val="1257A1"/>
        </w:rPr>
        <w:t xml:space="preserve">3.  </w:t>
      </w:r>
      <w:r>
        <w:rPr>
          <w:b/>
          <w:bCs/>
          <w:color w:val="0B3D73"/>
        </w:rPr>
        <w:t>Categorie di dati trattati</w:t>
      </w:r>
    </w:p>
    <w:p w14:paraId="4CE63182" w14:textId="77777777" w:rsidR="00D81A49" w:rsidRDefault="00000000">
      <w:pPr>
        <w:spacing w:after="100" w:line="264" w:lineRule="auto"/>
        <w:jc w:val="both"/>
      </w:pPr>
      <w:r>
        <w:t>Sono trattati i dati personali identificativi e di contatto (nome, cognome, data e luogo di nascita, residenza, codice fiscale, recapiti), i dati relativi al percorso di studio e professionale (curriculum vitae, titoli, certificazioni), nonché, nei limiti necessari, eventuali categorie particolari di dati ai sensi dell’art. 9 GDPR, qualora la documentazione presentata ne contenga (es. titoli che indichino convincimenti, stato di salute rilevante per esigenze di accessibilità, ecc.), trattati comunque con le garanzie previste dalla normativa applicabile.</w:t>
      </w:r>
    </w:p>
    <w:p w14:paraId="36061867" w14:textId="77777777" w:rsidR="00D81A49" w:rsidRDefault="00000000">
      <w:pPr>
        <w:spacing w:after="100" w:line="264" w:lineRule="auto"/>
        <w:jc w:val="both"/>
      </w:pPr>
      <w:r>
        <w:t>Per i soggetti che presentano domanda quali persone giuridiche, sono altresì trattati i dati personali del legale rappresentante, dei referenti e del personale docente messo a disposizione, indicati nella domanda e nella documentazione allegata.</w:t>
      </w:r>
    </w:p>
    <w:p w14:paraId="22E2E888" w14:textId="77777777" w:rsidR="00D81A49" w:rsidRDefault="00000000">
      <w:pPr>
        <w:keepNext/>
        <w:pBdr>
          <w:bottom w:val="single" w:sz="6" w:space="2" w:color="C6D10D"/>
        </w:pBdr>
        <w:spacing w:before="200" w:after="80"/>
      </w:pPr>
      <w:r>
        <w:rPr>
          <w:b/>
          <w:bCs/>
          <w:color w:val="1257A1"/>
        </w:rPr>
        <w:t xml:space="preserve">4.  </w:t>
      </w:r>
      <w:r>
        <w:rPr>
          <w:b/>
          <w:bCs/>
          <w:color w:val="0B3D73"/>
        </w:rPr>
        <w:t>Finalità del trattamento</w:t>
      </w:r>
    </w:p>
    <w:p w14:paraId="75FF7D53" w14:textId="77777777" w:rsidR="00D81A49" w:rsidRDefault="00000000">
      <w:pPr>
        <w:spacing w:after="100" w:line="264" w:lineRule="auto"/>
        <w:jc w:val="both"/>
      </w:pPr>
      <w:r>
        <w:t>I dati personali sono trattati per le seguenti finalità:</w:t>
      </w:r>
    </w:p>
    <w:p w14:paraId="6577C3C6" w14:textId="77777777" w:rsidR="00D81A49" w:rsidRDefault="00000000">
      <w:pPr>
        <w:spacing w:after="80" w:line="264" w:lineRule="auto"/>
        <w:ind w:left="397" w:hanging="397"/>
        <w:jc w:val="both"/>
      </w:pPr>
      <w:r>
        <w:rPr>
          <w:b/>
          <w:bCs/>
          <w:color w:val="1257A1"/>
        </w:rPr>
        <w:t>a)</w:t>
      </w:r>
      <w:r>
        <w:tab/>
        <w:t>gestione della procedura di costituzione e aggiornamento dell’Albo Docenti/Esperti, ivi compresa l’istruttoria delle domande e la verifica dei requisiti dichiarati;</w:t>
      </w:r>
    </w:p>
    <w:p w14:paraId="3E9E6F0D" w14:textId="77777777" w:rsidR="00D81A49" w:rsidRDefault="00000000">
      <w:pPr>
        <w:spacing w:after="80" w:line="264" w:lineRule="auto"/>
        <w:ind w:left="397" w:hanging="397"/>
        <w:jc w:val="both"/>
      </w:pPr>
      <w:r>
        <w:rPr>
          <w:b/>
          <w:bCs/>
          <w:color w:val="1257A1"/>
        </w:rPr>
        <w:t>b)</w:t>
      </w:r>
      <w:r>
        <w:tab/>
        <w:t>eventuale affidamento e gestione dei singoli incarichi di docenza, ivi compresi gli adempimenti contrattuali, fiscali, contributivi e assicurativi connessi;</w:t>
      </w:r>
    </w:p>
    <w:p w14:paraId="5F1723AE" w14:textId="77777777" w:rsidR="00D81A49" w:rsidRDefault="00000000">
      <w:pPr>
        <w:spacing w:after="80" w:line="264" w:lineRule="auto"/>
        <w:ind w:left="397" w:hanging="397"/>
        <w:jc w:val="both"/>
      </w:pPr>
      <w:r>
        <w:rPr>
          <w:b/>
          <w:bCs/>
          <w:color w:val="1257A1"/>
        </w:rPr>
        <w:t>c)</w:t>
      </w:r>
      <w:r>
        <w:tab/>
        <w:t>adempimenti connessi alla gestione, monitoraggio, controllo e rendicontazione del finanziamento a valere sul Fondo Sociale Europeo Plus (FSE+), ivi compresa l’eventuale comunicazione dei dati alle Autorità di Gestione, certificazione e audit del Programma Regionale FSE+ 2021-2027 della Regione Lombardia e agli organismi dell’Unione Europea competenti;</w:t>
      </w:r>
    </w:p>
    <w:p w14:paraId="15C0C1E0" w14:textId="77777777" w:rsidR="00D81A49" w:rsidRDefault="00000000">
      <w:pPr>
        <w:spacing w:after="80" w:line="264" w:lineRule="auto"/>
        <w:ind w:left="397" w:hanging="397"/>
        <w:jc w:val="both"/>
      </w:pPr>
      <w:r>
        <w:rPr>
          <w:b/>
          <w:bCs/>
          <w:color w:val="1257A1"/>
        </w:rPr>
        <w:t>d)</w:t>
      </w:r>
      <w:r>
        <w:tab/>
        <w:t>adempimento di obblighi previsti da leggi, regolamenti e normativa dell’Unione Europea.</w:t>
      </w:r>
    </w:p>
    <w:p w14:paraId="1EDA64ED" w14:textId="77777777" w:rsidR="00D81A49" w:rsidRDefault="00000000">
      <w:pPr>
        <w:keepNext/>
        <w:pBdr>
          <w:bottom w:val="single" w:sz="6" w:space="2" w:color="C6D10D"/>
        </w:pBdr>
        <w:spacing w:before="200" w:after="80"/>
      </w:pPr>
      <w:r>
        <w:rPr>
          <w:b/>
          <w:bCs/>
          <w:color w:val="1257A1"/>
        </w:rPr>
        <w:t xml:space="preserve">5.  </w:t>
      </w:r>
      <w:r>
        <w:rPr>
          <w:b/>
          <w:bCs/>
          <w:color w:val="0B3D73"/>
        </w:rPr>
        <w:t>Base giuridica del trattamento</w:t>
      </w:r>
    </w:p>
    <w:p w14:paraId="3B5E9491" w14:textId="77777777" w:rsidR="00D81A49" w:rsidRDefault="00000000">
      <w:pPr>
        <w:spacing w:after="100" w:line="264" w:lineRule="auto"/>
        <w:jc w:val="both"/>
      </w:pPr>
      <w:r>
        <w:t xml:space="preserve">Il trattamento si fonda sull’esecuzione di un compito di interesse pubblico e/o sull’adempimento di obblighi legali connessi alla gestione di finanziamenti pubblici (art. 6, par. 1, lett. c) ed </w:t>
      </w:r>
      <w:proofErr w:type="gramStart"/>
      <w:r>
        <w:t>e</w:t>
      </w:r>
      <w:proofErr w:type="gramEnd"/>
      <w:r>
        <w:t>), GDPR), nonché, ove necessario, sull’esecuzione di un contratto o di misure precontrattuali adottate su richiesta dell’interessato (art. 6, par. 1, lett. b), GDPR).</w:t>
      </w:r>
    </w:p>
    <w:p w14:paraId="3676488E" w14:textId="77777777" w:rsidR="00D81A49" w:rsidRDefault="00000000">
      <w:pPr>
        <w:keepNext/>
        <w:pBdr>
          <w:bottom w:val="single" w:sz="6" w:space="2" w:color="C6D10D"/>
        </w:pBdr>
        <w:spacing w:before="200" w:after="80"/>
      </w:pPr>
      <w:r>
        <w:rPr>
          <w:b/>
          <w:bCs/>
          <w:color w:val="1257A1"/>
        </w:rPr>
        <w:t xml:space="preserve">6.  </w:t>
      </w:r>
      <w:r>
        <w:rPr>
          <w:b/>
          <w:bCs/>
          <w:color w:val="0B3D73"/>
        </w:rPr>
        <w:t>Modalità del trattamento</w:t>
      </w:r>
    </w:p>
    <w:p w14:paraId="72CA4D2B" w14:textId="77777777" w:rsidR="00D81A49" w:rsidRDefault="00000000">
      <w:pPr>
        <w:spacing w:after="100" w:line="264" w:lineRule="auto"/>
        <w:jc w:val="both"/>
      </w:pPr>
      <w:r>
        <w:t>Il trattamento è effettuato con strumenti manuali e informatici, con logiche strettamente correlate alle finalità indicate e, comunque, in modo da garantire la sicurezza e la riservatezza dei dati, nel rispetto delle misure tecniche e organizzative adeguate previste dal GDPR.</w:t>
      </w:r>
    </w:p>
    <w:p w14:paraId="55FF65CD" w14:textId="77777777" w:rsidR="00D81A49" w:rsidRDefault="00000000">
      <w:pPr>
        <w:keepNext/>
        <w:pBdr>
          <w:bottom w:val="single" w:sz="6" w:space="2" w:color="C6D10D"/>
        </w:pBdr>
        <w:spacing w:before="200" w:after="80"/>
      </w:pPr>
      <w:r>
        <w:rPr>
          <w:b/>
          <w:bCs/>
          <w:color w:val="1257A1"/>
        </w:rPr>
        <w:lastRenderedPageBreak/>
        <w:t xml:space="preserve">7.  </w:t>
      </w:r>
      <w:r>
        <w:rPr>
          <w:b/>
          <w:bCs/>
          <w:color w:val="0B3D73"/>
        </w:rPr>
        <w:t>Destinatari dei dati</w:t>
      </w:r>
    </w:p>
    <w:p w14:paraId="41F15AFD" w14:textId="77777777" w:rsidR="00D81A49" w:rsidRDefault="00000000">
      <w:pPr>
        <w:spacing w:after="100" w:line="264" w:lineRule="auto"/>
        <w:jc w:val="both"/>
      </w:pPr>
      <w:r>
        <w:t>I dati personali possono essere comunicati, per le finalità sopra indicate, a: personale della Fondazione autorizzato al trattamento; Autorità di Gestione, Organismi di certificazione e di audit del Programma Regionale FSE+ 2021-2027 e della Commissione Europea; consulenti e fornitori di servizi della Fondazione (es. amministrativi, contabili, informatici), nominati responsabili del trattamento ove necessario; soggetti pubblici a cui la comunicazione sia obbligatoria per legge.</w:t>
      </w:r>
    </w:p>
    <w:p w14:paraId="633C7CDE" w14:textId="77777777" w:rsidR="00D81A49" w:rsidRDefault="00000000">
      <w:pPr>
        <w:keepNext/>
        <w:pBdr>
          <w:bottom w:val="single" w:sz="6" w:space="2" w:color="C6D10D"/>
        </w:pBdr>
        <w:spacing w:before="200" w:after="80"/>
      </w:pPr>
      <w:r>
        <w:rPr>
          <w:b/>
          <w:bCs/>
          <w:color w:val="1257A1"/>
        </w:rPr>
        <w:t xml:space="preserve">8.  </w:t>
      </w:r>
      <w:r>
        <w:rPr>
          <w:b/>
          <w:bCs/>
          <w:color w:val="0B3D73"/>
        </w:rPr>
        <w:t>Trasferimento dei dati</w:t>
      </w:r>
    </w:p>
    <w:p w14:paraId="228F2C23" w14:textId="77777777" w:rsidR="00D81A49" w:rsidRDefault="00000000">
      <w:pPr>
        <w:spacing w:after="100" w:line="264" w:lineRule="auto"/>
        <w:jc w:val="both"/>
      </w:pPr>
      <w:r>
        <w:t>I dati personali non sono trasferiti verso Paesi terzi extra UE/SEE, salvo quanto eventualmente necessario per gli adempimenti connessi alla gestione dei fondi europei, nel rispetto delle garanzie previste dal Capo V del GDPR.</w:t>
      </w:r>
    </w:p>
    <w:p w14:paraId="699D0C3C" w14:textId="77777777" w:rsidR="00D81A49" w:rsidRDefault="00000000">
      <w:pPr>
        <w:keepNext/>
        <w:pBdr>
          <w:bottom w:val="single" w:sz="6" w:space="2" w:color="C6D10D"/>
        </w:pBdr>
        <w:spacing w:before="200" w:after="80"/>
      </w:pPr>
      <w:r>
        <w:rPr>
          <w:b/>
          <w:bCs/>
          <w:color w:val="1257A1"/>
        </w:rPr>
        <w:t xml:space="preserve">9.  </w:t>
      </w:r>
      <w:r>
        <w:rPr>
          <w:b/>
          <w:bCs/>
          <w:color w:val="0B3D73"/>
        </w:rPr>
        <w:t>Periodo di conservazione</w:t>
      </w:r>
    </w:p>
    <w:p w14:paraId="48EB4B9D" w14:textId="77777777" w:rsidR="00D81A49" w:rsidRDefault="00000000">
      <w:pPr>
        <w:spacing w:after="100" w:line="264" w:lineRule="auto"/>
        <w:jc w:val="both"/>
      </w:pPr>
      <w:r>
        <w:t>I dati sono conservati per il periodo di validità dell’Albo e, successivamente, per il periodo previsto dalla normativa applicabile in materia di conservazione della documentazione amministrativa e contabile relativa ai fondi strutturali europei, e comunque non oltre i termini stabiliti dagli atti di programmazione del Fondo Sociale Europeo Plus.</w:t>
      </w:r>
    </w:p>
    <w:p w14:paraId="05C09C82" w14:textId="77777777" w:rsidR="00D81A49" w:rsidRDefault="00000000">
      <w:pPr>
        <w:keepNext/>
        <w:pBdr>
          <w:bottom w:val="single" w:sz="6" w:space="2" w:color="C6D10D"/>
        </w:pBdr>
        <w:spacing w:before="200" w:after="80"/>
      </w:pPr>
      <w:r>
        <w:rPr>
          <w:b/>
          <w:bCs/>
          <w:color w:val="1257A1"/>
        </w:rPr>
        <w:t xml:space="preserve">10.  </w:t>
      </w:r>
      <w:r>
        <w:rPr>
          <w:b/>
          <w:bCs/>
          <w:color w:val="0B3D73"/>
        </w:rPr>
        <w:t>Diritti dell’interessato</w:t>
      </w:r>
    </w:p>
    <w:p w14:paraId="4940CBDE" w14:textId="77777777" w:rsidR="00D81A49" w:rsidRDefault="00000000">
      <w:pPr>
        <w:spacing w:after="100" w:line="264" w:lineRule="auto"/>
        <w:jc w:val="both"/>
      </w:pPr>
      <w:r>
        <w:t>L’interessato può esercitare, nei confronti del Titolare, i diritti previsti dagli artt. 15-22 del GDPR (accesso, rettifica, cancellazione, limitazione, portabilità, opposizione), nonché il diritto di proporre reclamo al Garante per la Protezione dei Dati Personali, secondo le modalità indicate sul sito www.garanteprivacy.it. Le richieste possono essere inoltrate ai recapiti del Titolare indicati al punto 1.</w:t>
      </w:r>
    </w:p>
    <w:p w14:paraId="55D9D6AB" w14:textId="77777777" w:rsidR="00D81A49" w:rsidRDefault="00000000">
      <w:pPr>
        <w:keepNext/>
        <w:pBdr>
          <w:bottom w:val="single" w:sz="6" w:space="2" w:color="C6D10D"/>
        </w:pBdr>
        <w:spacing w:before="200" w:after="80"/>
      </w:pPr>
      <w:r>
        <w:rPr>
          <w:b/>
          <w:bCs/>
          <w:color w:val="1257A1"/>
        </w:rPr>
        <w:t xml:space="preserve">11.  </w:t>
      </w:r>
      <w:r>
        <w:rPr>
          <w:b/>
          <w:bCs/>
          <w:color w:val="0B3D73"/>
        </w:rPr>
        <w:t>Natura del conferimento dei dati</w:t>
      </w:r>
    </w:p>
    <w:p w14:paraId="210D41DA" w14:textId="77777777" w:rsidR="00D81A49" w:rsidRDefault="00000000">
      <w:pPr>
        <w:spacing w:after="100" w:line="264" w:lineRule="auto"/>
        <w:jc w:val="both"/>
      </w:pPr>
      <w:r>
        <w:t>Il conferimento dei dati è necessario per la partecipazione alla procedura di iscrizione all’Albo; il mancato conferimento comporta l’impossibilità di dare seguito alla domanda di iscrizione.</w:t>
      </w:r>
    </w:p>
    <w:p w14:paraId="14A418F9" w14:textId="77777777" w:rsidR="00D81A49" w:rsidRDefault="00D81A49">
      <w:pPr>
        <w:spacing w:after="120"/>
      </w:pPr>
    </w:p>
    <w:p w14:paraId="765EB496" w14:textId="77777777" w:rsidR="00D81A49" w:rsidRDefault="00000000">
      <w:pPr>
        <w:keepNext/>
        <w:spacing w:after="200" w:line="264" w:lineRule="auto"/>
        <w:jc w:val="both"/>
      </w:pPr>
      <w:r>
        <w:rPr>
          <w:b/>
          <w:bCs/>
        </w:rPr>
        <w:t>Il/La sottoscritto/a dichiara di aver letto e compreso la presente informativa.</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00"/>
        <w:gridCol w:w="638"/>
        <w:gridCol w:w="4500"/>
      </w:tblGrid>
      <w:tr w:rsidR="00D81A49" w14:paraId="351673A9" w14:textId="77777777">
        <w:tblPrEx>
          <w:tblCellMar>
            <w:top w:w="0" w:type="dxa"/>
            <w:bottom w:w="0" w:type="dxa"/>
          </w:tblCellMar>
        </w:tblPrEx>
        <w:trPr>
          <w:cantSplit/>
        </w:trPr>
        <w:tc>
          <w:tcPr>
            <w:tcW w:w="4500" w:type="dxa"/>
            <w:tcBorders>
              <w:top w:val="none" w:sz="0" w:space="0" w:color="FFFFFF"/>
              <w:left w:val="none" w:sz="0" w:space="0" w:color="FFFFFF"/>
              <w:bottom w:val="single" w:sz="6" w:space="0" w:color="7F93AD"/>
              <w:right w:val="none" w:sz="0" w:space="0" w:color="FFFFFF"/>
            </w:tcBorders>
          </w:tcPr>
          <w:p w14:paraId="2A42DE2C" w14:textId="77777777" w:rsidR="00D81A49" w:rsidRDefault="00000000">
            <w:pPr>
              <w:spacing w:after="480" w:line="264" w:lineRule="auto"/>
            </w:pPr>
            <w:r>
              <w:rPr>
                <w:b/>
                <w:bCs/>
                <w:color w:val="1257A1"/>
                <w:sz w:val="17"/>
                <w:szCs w:val="17"/>
              </w:rPr>
              <w:t>Luogo e data</w:t>
            </w:r>
          </w:p>
        </w:tc>
        <w:tc>
          <w:tcPr>
            <w:tcW w:w="638" w:type="dxa"/>
          </w:tcPr>
          <w:p w14:paraId="6252053D" w14:textId="77777777" w:rsidR="00D81A49" w:rsidRDefault="00D81A49"/>
        </w:tc>
        <w:tc>
          <w:tcPr>
            <w:tcW w:w="4500" w:type="dxa"/>
            <w:tcBorders>
              <w:top w:val="none" w:sz="0" w:space="0" w:color="FFFFFF"/>
              <w:left w:val="none" w:sz="0" w:space="0" w:color="FFFFFF"/>
              <w:bottom w:val="single" w:sz="6" w:space="0" w:color="7F93AD"/>
              <w:right w:val="none" w:sz="0" w:space="0" w:color="FFFFFF"/>
            </w:tcBorders>
          </w:tcPr>
          <w:p w14:paraId="7F9FEB65" w14:textId="77777777" w:rsidR="00D81A49" w:rsidRDefault="00000000">
            <w:pPr>
              <w:spacing w:after="480" w:line="264" w:lineRule="auto"/>
            </w:pPr>
            <w:r>
              <w:rPr>
                <w:b/>
                <w:bCs/>
                <w:color w:val="1257A1"/>
                <w:sz w:val="17"/>
                <w:szCs w:val="17"/>
              </w:rPr>
              <w:t>Firma</w:t>
            </w:r>
          </w:p>
        </w:tc>
      </w:tr>
    </w:tbl>
    <w:p w14:paraId="395FD883" w14:textId="77777777" w:rsidR="00451DB4" w:rsidRDefault="00451DB4"/>
    <w:sectPr w:rsidR="00451DB4">
      <w:headerReference w:type="default" r:id="rId7"/>
      <w:footerReference w:type="default" r:id="rId8"/>
      <w:pgSz w:w="11906" w:h="16838"/>
      <w:pgMar w:top="1500" w:right="1134" w:bottom="1750" w:left="1134" w:header="400" w:footer="3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8B27E" w14:textId="77777777" w:rsidR="00451DB4" w:rsidRDefault="00451DB4">
      <w:r>
        <w:separator/>
      </w:r>
    </w:p>
  </w:endnote>
  <w:endnote w:type="continuationSeparator" w:id="0">
    <w:p w14:paraId="710CD5DC" w14:textId="77777777" w:rsidR="00451DB4" w:rsidRDefault="00451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FDC8D" w14:textId="77777777" w:rsidR="00D81A49" w:rsidRDefault="00000000">
    <w:pPr>
      <w:pBdr>
        <w:top w:val="single" w:sz="6" w:space="6" w:color="1257A1"/>
      </w:pBdr>
      <w:spacing w:after="40"/>
      <w:jc w:val="center"/>
    </w:pPr>
    <w:r>
      <w:rPr>
        <w:noProof/>
      </w:rPr>
      <w:drawing>
        <wp:inline distT="0" distB="0" distL="0" distR="0" wp14:anchorId="654496CC" wp14:editId="1359FFFC">
          <wp:extent cx="5334000" cy="419100"/>
          <wp:effectExtent l="0" t="0" r="0" b="0"/>
          <wp:docPr id="1411448738" name="Immagine 1411448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334000" cy="419100"/>
                  </a:xfrm>
                  <a:prstGeom prst="rect">
                    <a:avLst/>
                  </a:prstGeom>
                </pic:spPr>
              </pic:pic>
            </a:graphicData>
          </a:graphic>
        </wp:inline>
      </w:drawing>
    </w:r>
  </w:p>
  <w:p w14:paraId="09FCBE61" w14:textId="7522F4B7" w:rsidR="00D81A49" w:rsidRDefault="00000000">
    <w:pPr>
      <w:tabs>
        <w:tab w:val="right" w:pos="9638"/>
      </w:tabs>
    </w:pPr>
    <w:r>
      <w:rPr>
        <w:color w:val="5F6B7A"/>
        <w:sz w:val="15"/>
        <w:szCs w:val="15"/>
      </w:rPr>
      <w:tab/>
      <w:t xml:space="preserve">Pag. </w:t>
    </w:r>
    <w:r>
      <w:rPr>
        <w:b/>
        <w:bCs/>
        <w:color w:val="1257A1"/>
        <w:sz w:val="15"/>
        <w:szCs w:val="15"/>
      </w:rPr>
      <w:fldChar w:fldCharType="begin"/>
    </w:r>
    <w:r>
      <w:rPr>
        <w:b/>
        <w:bCs/>
        <w:color w:val="1257A1"/>
        <w:sz w:val="15"/>
        <w:szCs w:val="15"/>
      </w:rPr>
      <w:instrText>PAGE</w:instrText>
    </w:r>
    <w:r>
      <w:rPr>
        <w:b/>
        <w:bCs/>
        <w:color w:val="1257A1"/>
        <w:sz w:val="15"/>
        <w:szCs w:val="15"/>
      </w:rPr>
      <w:fldChar w:fldCharType="separate"/>
    </w:r>
    <w:r w:rsidR="00094EF3">
      <w:rPr>
        <w:b/>
        <w:bCs/>
        <w:noProof/>
        <w:color w:val="1257A1"/>
        <w:sz w:val="15"/>
        <w:szCs w:val="15"/>
      </w:rPr>
      <w:t>1</w:t>
    </w:r>
    <w:r>
      <w:rPr>
        <w:b/>
        <w:bCs/>
        <w:color w:val="1257A1"/>
        <w:sz w:val="15"/>
        <w:szCs w:val="15"/>
      </w:rPr>
      <w:fldChar w:fldCharType="end"/>
    </w:r>
    <w:r>
      <w:rPr>
        <w:color w:val="5F6B7A"/>
        <w:sz w:val="15"/>
        <w:szCs w:val="15"/>
      </w:rPr>
      <w:t xml:space="preserve"> di </w:t>
    </w:r>
    <w:r>
      <w:rPr>
        <w:color w:val="5F6B7A"/>
        <w:sz w:val="15"/>
        <w:szCs w:val="15"/>
      </w:rPr>
      <w:fldChar w:fldCharType="begin"/>
    </w:r>
    <w:r>
      <w:rPr>
        <w:color w:val="5F6B7A"/>
        <w:sz w:val="15"/>
        <w:szCs w:val="15"/>
      </w:rPr>
      <w:instrText>NUMPAGES</w:instrText>
    </w:r>
    <w:r>
      <w:rPr>
        <w:color w:val="5F6B7A"/>
        <w:sz w:val="15"/>
        <w:szCs w:val="15"/>
      </w:rPr>
      <w:fldChar w:fldCharType="separate"/>
    </w:r>
    <w:r w:rsidR="00094EF3">
      <w:rPr>
        <w:noProof/>
        <w:color w:val="5F6B7A"/>
        <w:sz w:val="15"/>
        <w:szCs w:val="15"/>
      </w:rPr>
      <w:t>2</w:t>
    </w:r>
    <w:r>
      <w:rPr>
        <w:color w:val="5F6B7A"/>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8EA20" w14:textId="77777777" w:rsidR="00451DB4" w:rsidRDefault="00451DB4">
      <w:r>
        <w:separator/>
      </w:r>
    </w:p>
  </w:footnote>
  <w:footnote w:type="continuationSeparator" w:id="0">
    <w:p w14:paraId="0C249765" w14:textId="77777777" w:rsidR="00451DB4" w:rsidRDefault="00451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C72D" w14:textId="77777777" w:rsidR="00D81A49" w:rsidRDefault="00000000">
    <w:pPr>
      <w:spacing w:after="60"/>
      <w:jc w:val="center"/>
    </w:pPr>
    <w:r>
      <w:rPr>
        <w:noProof/>
      </w:rPr>
      <w:drawing>
        <wp:inline distT="0" distB="0" distL="0" distR="0" wp14:anchorId="51AD5CEC" wp14:editId="02D29FAE">
          <wp:extent cx="5143500" cy="3524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143500" cy="352425"/>
                  </a:xfrm>
                  <a:prstGeom prst="rect">
                    <a:avLst/>
                  </a:prstGeom>
                </pic:spPr>
              </pic:pic>
            </a:graphicData>
          </a:graphic>
        </wp:inline>
      </w:drawing>
    </w:r>
  </w:p>
  <w:p w14:paraId="6BB1CCA2" w14:textId="77777777" w:rsidR="00D81A49" w:rsidRDefault="00000000">
    <w:pPr>
      <w:pBdr>
        <w:bottom w:val="single" w:sz="12" w:space="3" w:color="C6D10D"/>
      </w:pBdr>
      <w:tabs>
        <w:tab w:val="right" w:pos="9638"/>
      </w:tabs>
    </w:pPr>
    <w:r>
      <w:rPr>
        <w:b/>
        <w:bCs/>
        <w:color w:val="1257A1"/>
        <w:sz w:val="15"/>
        <w:szCs w:val="15"/>
      </w:rPr>
      <w:t>Fondazione ITS Academy LGA</w:t>
    </w:r>
    <w:r>
      <w:rPr>
        <w:color w:val="5F6B7A"/>
        <w:sz w:val="15"/>
        <w:szCs w:val="15"/>
      </w:rPr>
      <w:tab/>
      <w:t>Allegato C · Informativa privacy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F3F38"/>
    <w:multiLevelType w:val="hybridMultilevel"/>
    <w:tmpl w:val="5F6AEA08"/>
    <w:lvl w:ilvl="0" w:tplc="C6FE814A">
      <w:start w:val="1"/>
      <w:numFmt w:val="bullet"/>
      <w:lvlText w:val="●"/>
      <w:lvlJc w:val="left"/>
      <w:pPr>
        <w:ind w:left="720" w:hanging="360"/>
      </w:pPr>
    </w:lvl>
    <w:lvl w:ilvl="1" w:tplc="5B08A4EE">
      <w:start w:val="1"/>
      <w:numFmt w:val="bullet"/>
      <w:lvlText w:val="○"/>
      <w:lvlJc w:val="left"/>
      <w:pPr>
        <w:ind w:left="1440" w:hanging="360"/>
      </w:pPr>
    </w:lvl>
    <w:lvl w:ilvl="2" w:tplc="BBCE4052">
      <w:start w:val="1"/>
      <w:numFmt w:val="bullet"/>
      <w:lvlText w:val="■"/>
      <w:lvlJc w:val="left"/>
      <w:pPr>
        <w:ind w:left="2160" w:hanging="360"/>
      </w:pPr>
    </w:lvl>
    <w:lvl w:ilvl="3" w:tplc="FB96304E">
      <w:start w:val="1"/>
      <w:numFmt w:val="bullet"/>
      <w:lvlText w:val="●"/>
      <w:lvlJc w:val="left"/>
      <w:pPr>
        <w:ind w:left="2880" w:hanging="360"/>
      </w:pPr>
    </w:lvl>
    <w:lvl w:ilvl="4" w:tplc="AA3420AC">
      <w:start w:val="1"/>
      <w:numFmt w:val="bullet"/>
      <w:lvlText w:val="○"/>
      <w:lvlJc w:val="left"/>
      <w:pPr>
        <w:ind w:left="3600" w:hanging="360"/>
      </w:pPr>
    </w:lvl>
    <w:lvl w:ilvl="5" w:tplc="CD3278CA">
      <w:start w:val="1"/>
      <w:numFmt w:val="bullet"/>
      <w:lvlText w:val="■"/>
      <w:lvlJc w:val="left"/>
      <w:pPr>
        <w:ind w:left="4320" w:hanging="360"/>
      </w:pPr>
    </w:lvl>
    <w:lvl w:ilvl="6" w:tplc="4EA20976">
      <w:start w:val="1"/>
      <w:numFmt w:val="bullet"/>
      <w:lvlText w:val="●"/>
      <w:lvlJc w:val="left"/>
      <w:pPr>
        <w:ind w:left="5040" w:hanging="360"/>
      </w:pPr>
    </w:lvl>
    <w:lvl w:ilvl="7" w:tplc="5A00190C">
      <w:start w:val="1"/>
      <w:numFmt w:val="bullet"/>
      <w:lvlText w:val="●"/>
      <w:lvlJc w:val="left"/>
      <w:pPr>
        <w:ind w:left="5760" w:hanging="360"/>
      </w:pPr>
    </w:lvl>
    <w:lvl w:ilvl="8" w:tplc="44EC6308">
      <w:start w:val="1"/>
      <w:numFmt w:val="bullet"/>
      <w:lvlText w:val="●"/>
      <w:lvlJc w:val="left"/>
      <w:pPr>
        <w:ind w:left="6480" w:hanging="360"/>
      </w:pPr>
    </w:lvl>
  </w:abstractNum>
  <w:num w:numId="1" w16cid:durableId="4073900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A49"/>
    <w:rsid w:val="00094EF3"/>
    <w:rsid w:val="00451DB4"/>
    <w:rsid w:val="00B36731"/>
    <w:rsid w:val="00D81A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E5790"/>
  <w15:docId w15:val="{6EF37569-728B-467D-8A6C-CAC4E266C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094EF3"/>
    <w:pPr>
      <w:tabs>
        <w:tab w:val="center" w:pos="4819"/>
        <w:tab w:val="right" w:pos="9638"/>
      </w:tabs>
    </w:pPr>
  </w:style>
  <w:style w:type="character" w:customStyle="1" w:styleId="IntestazioneCarattere">
    <w:name w:val="Intestazione Carattere"/>
    <w:basedOn w:val="Carpredefinitoparagrafo"/>
    <w:link w:val="Intestazione"/>
    <w:uiPriority w:val="99"/>
    <w:rsid w:val="00094EF3"/>
  </w:style>
  <w:style w:type="paragraph" w:styleId="Pidipagina">
    <w:name w:val="footer"/>
    <w:basedOn w:val="Normale"/>
    <w:link w:val="PidipaginaCarattere"/>
    <w:uiPriority w:val="99"/>
    <w:unhideWhenUsed/>
    <w:rsid w:val="00094EF3"/>
    <w:pPr>
      <w:tabs>
        <w:tab w:val="center" w:pos="4819"/>
        <w:tab w:val="right" w:pos="9638"/>
      </w:tabs>
    </w:pPr>
  </w:style>
  <w:style w:type="character" w:customStyle="1" w:styleId="PidipaginaCarattere">
    <w:name w:val="Piè di pagina Carattere"/>
    <w:basedOn w:val="Carpredefinitoparagrafo"/>
    <w:link w:val="Pidipagina"/>
    <w:uiPriority w:val="99"/>
    <w:rsid w:val="00094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718</Words>
  <Characters>4093</Characters>
  <Application>Microsoft Office Word</Application>
  <DocSecurity>0</DocSecurity>
  <Lines>34</Lines>
  <Paragraphs>9</Paragraphs>
  <ScaleCrop>false</ScaleCrop>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C – Informativa privacy – Albo Docenti/Esperti 2026/2028</dc:title>
  <dc:creator>Fondazione ITS Academy LGA</dc:creator>
  <cp:lastModifiedBy>Alessandro Castagnoli</cp:lastModifiedBy>
  <cp:revision>2</cp:revision>
  <dcterms:created xsi:type="dcterms:W3CDTF">2026-09-16T09:08:00Z</dcterms:created>
  <dcterms:modified xsi:type="dcterms:W3CDTF">2026-09-16T10:30:00Z</dcterms:modified>
</cp:coreProperties>
</file>